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B525AB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525A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525AB" w:rsidRPr="00B525AB">
              <w:rPr>
                <w:rFonts w:asciiTheme="minorHAnsi" w:hAnsiTheme="minorHAnsi" w:cstheme="minorHAnsi"/>
                <w:b/>
                <w:sz w:val="22"/>
                <w:szCs w:val="22"/>
              </w:rPr>
              <w:t>ustaw</w:t>
            </w:r>
            <w:r w:rsidR="00B525A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B525AB" w:rsidRPr="00B52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Prawo komunikacji elektronicznej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525A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87521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11 ust. 3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875212" w:rsidP="004F65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ze </w:t>
            </w:r>
            <w:r w:rsidR="004F6518">
              <w:rPr>
                <w:rFonts w:asciiTheme="minorHAnsi" w:hAnsiTheme="minorHAnsi" w:cstheme="minorHAnsi"/>
                <w:sz w:val="22"/>
                <w:szCs w:val="22"/>
              </w:rPr>
              <w:t>wskazanym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przepisem, zaświadczenie</w:t>
            </w:r>
            <w:r w:rsidR="004F6518">
              <w:t xml:space="preserve"> </w:t>
            </w:r>
            <w:r w:rsidR="004F6518" w:rsidRPr="004F6518">
              <w:rPr>
                <w:rFonts w:asciiTheme="minorHAnsi" w:hAnsiTheme="minorHAnsi" w:cstheme="minorHAnsi"/>
                <w:sz w:val="22"/>
                <w:szCs w:val="22"/>
              </w:rPr>
              <w:t>wydaje się w postaci elektronicznej i doręcza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75212">
              <w:rPr>
                <w:rFonts w:asciiTheme="minorHAnsi" w:hAnsiTheme="minorHAnsi" w:cstheme="minorHAnsi"/>
                <w:sz w:val="22"/>
                <w:szCs w:val="22"/>
              </w:rPr>
              <w:t>przy użyciu Platformy Usług Elektronicznych Urzędu Komunikacji Elektronicznej</w:t>
            </w:r>
            <w:r w:rsidR="00BF7830">
              <w:rPr>
                <w:rFonts w:asciiTheme="minorHAnsi" w:hAnsiTheme="minorHAnsi" w:cstheme="minorHAnsi"/>
                <w:sz w:val="22"/>
                <w:szCs w:val="22"/>
              </w:rPr>
              <w:t xml:space="preserve">. Poprzednia wersja ustawy wskazywała jedynie, że zaświadczenie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F7830" w:rsidRPr="00BF7830">
              <w:rPr>
                <w:rFonts w:asciiTheme="minorHAnsi" w:hAnsiTheme="minorHAnsi" w:cstheme="minorHAnsi"/>
                <w:sz w:val="22"/>
                <w:szCs w:val="22"/>
              </w:rPr>
              <w:t>doręcza się za pomocą środków komunikacji elektronicznej</w:t>
            </w:r>
            <w:r w:rsidR="00BF783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F7830" w:rsidRPr="00BF78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F7830">
              <w:rPr>
                <w:rFonts w:asciiTheme="minorHAnsi" w:hAnsiTheme="minorHAnsi" w:cstheme="minorHAnsi"/>
                <w:sz w:val="22"/>
                <w:szCs w:val="22"/>
              </w:rPr>
              <w:t xml:space="preserve">Wobec </w:t>
            </w:r>
            <w:r w:rsidR="00BF7830" w:rsidRPr="00FA734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wprowadzenia do projektu ustawy</w:t>
            </w:r>
            <w:r w:rsidRPr="00FA734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BF7830" w:rsidRPr="00FA734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„Platformy Usług Elektronicznych Urzędu Komunikacji Elektronicznej”</w:t>
            </w:r>
            <w:r w:rsidR="00BF7830">
              <w:rPr>
                <w:rFonts w:asciiTheme="minorHAnsi" w:hAnsiTheme="minorHAnsi" w:cstheme="minorHAnsi"/>
                <w:sz w:val="22"/>
                <w:szCs w:val="22"/>
              </w:rPr>
              <w:t xml:space="preserve">, dalej PUE UKE, </w:t>
            </w:r>
            <w:r w:rsidR="00FA7340">
              <w:rPr>
                <w:rFonts w:asciiTheme="minorHAnsi" w:hAnsiTheme="minorHAnsi" w:cstheme="minorHAnsi"/>
                <w:sz w:val="22"/>
                <w:szCs w:val="22"/>
              </w:rPr>
              <w:t>proponuje się rozważenie wprowadzenia do projektu przepisu materialnego wskazującego, że wszelkie  czynności związane z wpisami do rejestrów PT i JST prowadzone są w systemie PUE UKE i wymagają wcześniejszej rejestracji/założenia konta</w:t>
            </w:r>
            <w:r w:rsidR="00030545">
              <w:rPr>
                <w:rFonts w:asciiTheme="minorHAnsi" w:hAnsiTheme="minorHAnsi" w:cstheme="minorHAnsi"/>
                <w:sz w:val="22"/>
                <w:szCs w:val="22"/>
              </w:rPr>
              <w:t xml:space="preserve"> w tym systemie.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BF783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11 ust. </w:t>
            </w:r>
            <w:r w:rsidR="001C462D">
              <w:rPr>
                <w:rFonts w:asciiTheme="minorHAnsi" w:hAnsiTheme="minorHAnsi" w:cstheme="minorHAnsi"/>
                <w:sz w:val="22"/>
                <w:szCs w:val="22"/>
              </w:rPr>
              <w:t xml:space="preserve">2 i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 pkt 1</w:t>
            </w:r>
          </w:p>
        </w:tc>
        <w:tc>
          <w:tcPr>
            <w:tcW w:w="4678" w:type="dxa"/>
            <w:shd w:val="clear" w:color="auto" w:fill="auto"/>
          </w:tcPr>
          <w:p w:rsidR="00BF7830" w:rsidRDefault="00BF7830" w:rsidP="00BF78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wskazanym przepisem zaświadczenie może być  weryfikowane za pomocą sygnatury</w:t>
            </w:r>
            <w:r w:rsidRPr="00BF7830">
              <w:rPr>
                <w:rFonts w:asciiTheme="minorHAnsi" w:hAnsiTheme="minorHAnsi" w:cstheme="minorHAnsi"/>
                <w:sz w:val="22"/>
                <w:szCs w:val="22"/>
              </w:rPr>
              <w:t>, którą jest opatrzone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We wskazanym przypadku:</w:t>
            </w:r>
          </w:p>
          <w:p w:rsidR="00A06425" w:rsidRDefault="00BF7830" w:rsidP="00BF78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1)  zaznaczyć należy, że przepis art. 11 ust. 2 nie zawiera elementu zaświadczenia, jakim jest sygnatura, należy wiec odpowiednio uzupełnić przepis ust. 2;</w:t>
            </w:r>
          </w:p>
          <w:p w:rsidR="00BF7830" w:rsidRPr="00A06425" w:rsidRDefault="00BF7830" w:rsidP="00BF78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2) wyjaśnić należy, czy wskazana sygnatura jest kolejnym nr porządkowym zaświadczenia, czy tez może sygnaturą sprawy – co powodowałoby konieczność korekty ust. 5 pkt 1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1C462D" w:rsidP="001C46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462D">
              <w:rPr>
                <w:rFonts w:asciiTheme="minorHAnsi" w:hAnsiTheme="minorHAnsi" w:cstheme="minorHAnsi"/>
                <w:sz w:val="22"/>
                <w:szCs w:val="22"/>
              </w:rPr>
              <w:t xml:space="preserve">Art. 11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ust. 2 i </w:t>
            </w:r>
            <w:r w:rsidRPr="001C462D">
              <w:rPr>
                <w:rFonts w:asciiTheme="minorHAnsi" w:hAnsiTheme="minorHAnsi" w:cstheme="minorHAnsi"/>
                <w:sz w:val="22"/>
                <w:szCs w:val="22"/>
              </w:rPr>
              <w:t xml:space="preserve">ust. 5 pkt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552DD1" w:rsidP="001C46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Mając na uwadze, że</w:t>
            </w:r>
            <w:r w:rsidR="001C462D">
              <w:rPr>
                <w:rFonts w:asciiTheme="minorHAnsi" w:hAnsiTheme="minorHAnsi" w:cstheme="minorHAnsi"/>
                <w:sz w:val="22"/>
                <w:szCs w:val="22"/>
              </w:rPr>
              <w:t xml:space="preserve"> weryfikacji zaświadczenia można dokonać przez wskazanie daty wydania zaświadczenia, to przepis art. 11 ust. 2 należy </w:t>
            </w:r>
            <w:r w:rsidR="001C462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uzupełnić  o datę wydania zaświadczenia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12 </w:t>
            </w:r>
          </w:p>
        </w:tc>
        <w:tc>
          <w:tcPr>
            <w:tcW w:w="4678" w:type="dxa"/>
            <w:shd w:val="clear" w:color="auto" w:fill="auto"/>
          </w:tcPr>
          <w:p w:rsidR="00F04E1C" w:rsidRDefault="00564113" w:rsidP="008B572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wymaga, jaką procedurę należy zastosować w przypadku zmiany danych, o których mowa w art. 6 ust. 1 pkt 4 i art. 7 ust. 1 pkt 8 (dane osoby wyznaczonej do kontaktu). Zgodnie z art. 12  ust. 1 projektu, jeżeli </w:t>
            </w:r>
            <w:r w:rsidRPr="00564113">
              <w:rPr>
                <w:rFonts w:asciiTheme="minorHAnsi" w:hAnsiTheme="minorHAnsi" w:cstheme="minorHAnsi"/>
                <w:sz w:val="22"/>
                <w:szCs w:val="22"/>
              </w:rPr>
              <w:t xml:space="preserve">nastąpiła zmiana danych, o których mowa w art. 6 ust. 1 i art. 7 ust. 1, podmiot wpisany do rejestru PT albo rejestru JST, z wyjątkiem przypadku określonego w ust. 5, jest obowiązany w terminie 14 dni od dnia zmiany tych danych złożyć do Prezesa UKE </w:t>
            </w:r>
            <w:r w:rsidRPr="0056411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wniosek o </w:t>
            </w:r>
            <w:r w:rsidRPr="003D6FB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zmianę wpisu w rejestrze PT</w:t>
            </w:r>
            <w:r w:rsidRPr="0056411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albo w </w:t>
            </w:r>
            <w:r w:rsidRPr="003D6FB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rejestrze JST</w:t>
            </w:r>
            <w:r w:rsidRPr="005641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B5729">
              <w:rPr>
                <w:rFonts w:asciiTheme="minorHAnsi" w:hAnsiTheme="minorHAnsi" w:cstheme="minorHAnsi"/>
                <w:sz w:val="22"/>
                <w:szCs w:val="22"/>
              </w:rPr>
              <w:t xml:space="preserve">Wskazać jednak należy, że rejestry PT i JST </w:t>
            </w:r>
            <w:r w:rsidR="008B5729" w:rsidRPr="008B572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nie obejmują</w:t>
            </w:r>
            <w:r w:rsidR="008B572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</w:t>
            </w:r>
            <w:r w:rsidR="008B5729" w:rsidRPr="008B572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zgodnie z przepisami art. 9 i art. 10</w:t>
            </w:r>
            <w:r w:rsidR="008B572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</w:t>
            </w:r>
            <w:r w:rsidR="008B5729" w:rsidRPr="008B572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danych, o których mowa w art. 6 ust. 1 pkt 4 i art. 7 ust. 1 pkt 8</w:t>
            </w:r>
            <w:r w:rsidR="008B5729">
              <w:rPr>
                <w:rFonts w:asciiTheme="minorHAnsi" w:hAnsiTheme="minorHAnsi" w:cstheme="minorHAnsi"/>
                <w:sz w:val="22"/>
                <w:szCs w:val="22"/>
              </w:rPr>
              <w:t>. Regulacja zawiera więc lukę dotyczącą zmiany danych osób wskazanych do  kontakt</w:t>
            </w:r>
            <w:r w:rsidR="00D63F0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A0FAD">
              <w:rPr>
                <w:rFonts w:asciiTheme="minorHAnsi" w:hAnsiTheme="minorHAnsi" w:cstheme="minorHAnsi"/>
                <w:sz w:val="22"/>
                <w:szCs w:val="22"/>
              </w:rPr>
              <w:t xml:space="preserve">, wymagającą uzupełnienia. </w:t>
            </w:r>
          </w:p>
          <w:p w:rsidR="00A06425" w:rsidRPr="00A06425" w:rsidRDefault="00F04E1C" w:rsidP="00F04E1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należy wskazać, że w przypadku rejestru urządzeń, o którym mowa </w:t>
            </w:r>
            <w:r w:rsidR="008B57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art. 147 projektu, dane osoby do kontaktu są wpisywane do rejestru i ujawniane (na podstawie art. 147 ust. 4) – proponuje się więc rozważyć wprowadzenie takiego samego rozwiązania w przypadku rejestru PT i JST.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7A293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15 ust. 4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7A2938" w:rsidP="007A293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wskazanym przepisem, w</w:t>
            </w:r>
            <w:r w:rsidRPr="007A2938">
              <w:rPr>
                <w:rFonts w:asciiTheme="minorHAnsi" w:hAnsiTheme="minorHAnsi" w:cstheme="minorHAnsi"/>
                <w:sz w:val="22"/>
                <w:szCs w:val="22"/>
              </w:rPr>
              <w:t>ykreślenie wpisu z rejestru PT albo rejestru JST podmiotu do niego wpisanego nie oznacza usunięcia danych z rejestru PT albo rejestru JST.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więc zadać pytanie, co następuje z danymi osób do kontaktów z UKE, wskazanych we wniosku, ale nie będących elementem wpisu rejestru.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2DD1" w:rsidRPr="00A06425" w:rsidTr="00A06425">
        <w:tc>
          <w:tcPr>
            <w:tcW w:w="562" w:type="dxa"/>
            <w:shd w:val="clear" w:color="auto" w:fill="auto"/>
          </w:tcPr>
          <w:p w:rsidR="00552DD1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52DD1" w:rsidRPr="00A06425" w:rsidRDefault="00552D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52DD1" w:rsidRPr="00A06425" w:rsidRDefault="00993B65" w:rsidP="00993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52 ust. 1 i 2</w:t>
            </w:r>
          </w:p>
        </w:tc>
        <w:tc>
          <w:tcPr>
            <w:tcW w:w="4678" w:type="dxa"/>
            <w:shd w:val="clear" w:color="auto" w:fill="auto"/>
          </w:tcPr>
          <w:p w:rsidR="00552DD1" w:rsidRPr="00A06425" w:rsidRDefault="00993B65" w:rsidP="008564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art. 52 ust. 2 w</w:t>
            </w:r>
            <w:r w:rsidRPr="00993B65">
              <w:rPr>
                <w:rFonts w:asciiTheme="minorHAnsi" w:hAnsiTheme="minorHAnsi" w:cstheme="minorHAnsi"/>
                <w:sz w:val="22"/>
                <w:szCs w:val="22"/>
              </w:rPr>
              <w:t>ykaz abonentów</w:t>
            </w:r>
            <w:r>
              <w:t xml:space="preserve"> </w:t>
            </w:r>
            <w:r w:rsidRPr="00993B65">
              <w:rPr>
                <w:rFonts w:asciiTheme="minorHAnsi" w:hAnsiTheme="minorHAnsi" w:cstheme="minorHAnsi"/>
                <w:sz w:val="22"/>
                <w:szCs w:val="22"/>
              </w:rPr>
              <w:t>publicznie dostępnych usług telekomunikacyjnych,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obejmuje dane, o których mowa w art. 261</w:t>
            </w:r>
            <w:r w:rsidR="006B2659">
              <w:rPr>
                <w:rFonts w:asciiTheme="minorHAnsi" w:hAnsiTheme="minorHAnsi" w:cstheme="minorHAnsi"/>
                <w:sz w:val="22"/>
                <w:szCs w:val="22"/>
              </w:rPr>
              <w:t xml:space="preserve"> ust. 1</w:t>
            </w:r>
            <w:r w:rsidR="00925F29">
              <w:rPr>
                <w:rFonts w:asciiTheme="minorHAnsi" w:hAnsiTheme="minorHAnsi" w:cstheme="minorHAnsi"/>
                <w:sz w:val="22"/>
                <w:szCs w:val="22"/>
              </w:rPr>
              <w:t xml:space="preserve">. Po pierwsze wskazać należy, że przepis art. 261 ust. 1 nie zawiera katalogu potrzebnych danych. Po drugie </w:t>
            </w:r>
            <w:r w:rsidR="00925F2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wyjaśnienia wymaga wzajemny zakres przepisów art. 52 ust. 1 i 2, bowiem w przepisie ust. 1 pkt 3 zamieszczono, wydaje się część wspólną wyliczenia dotyczącą wykazu abonentów w brzmieniu „</w:t>
            </w:r>
            <w:r w:rsidR="00925F29" w:rsidRPr="00925F29">
              <w:rPr>
                <w:rFonts w:asciiTheme="minorHAnsi" w:hAnsiTheme="minorHAnsi" w:cstheme="minorHAnsi"/>
                <w:sz w:val="22"/>
                <w:szCs w:val="22"/>
              </w:rPr>
              <w:t>uwzględniając w nim dane uzyskiwane przy zawarciu umowy</w:t>
            </w:r>
            <w:r w:rsidR="00925F29">
              <w:rPr>
                <w:rFonts w:asciiTheme="minorHAnsi" w:hAnsiTheme="minorHAnsi" w:cstheme="minorHAnsi"/>
                <w:sz w:val="22"/>
                <w:szCs w:val="22"/>
              </w:rPr>
              <w:t xml:space="preserve">”. Przepis ust. 2 zawiera </w:t>
            </w:r>
            <w:r w:rsidR="0085649A">
              <w:rPr>
                <w:rFonts w:asciiTheme="minorHAnsi" w:hAnsiTheme="minorHAnsi" w:cstheme="minorHAnsi"/>
                <w:sz w:val="22"/>
                <w:szCs w:val="22"/>
              </w:rPr>
              <w:t>natomiast</w:t>
            </w:r>
            <w:r w:rsidR="00925F29">
              <w:rPr>
                <w:rFonts w:asciiTheme="minorHAnsi" w:hAnsiTheme="minorHAnsi" w:cstheme="minorHAnsi"/>
                <w:sz w:val="22"/>
                <w:szCs w:val="22"/>
              </w:rPr>
              <w:t xml:space="preserve"> katalog danych wykazu </w:t>
            </w:r>
            <w:r w:rsidR="0085649A">
              <w:rPr>
                <w:rFonts w:asciiTheme="minorHAnsi" w:hAnsiTheme="minorHAnsi" w:cstheme="minorHAnsi"/>
                <w:sz w:val="22"/>
                <w:szCs w:val="22"/>
              </w:rPr>
              <w:t>abonentów. Wyjaśnienia więc wymaga, czy „</w:t>
            </w:r>
            <w:r w:rsidR="0085649A" w:rsidRPr="0085649A">
              <w:rPr>
                <w:rFonts w:asciiTheme="minorHAnsi" w:hAnsiTheme="minorHAnsi" w:cstheme="minorHAnsi"/>
                <w:sz w:val="22"/>
                <w:szCs w:val="22"/>
              </w:rPr>
              <w:t>dane uzyskiwane przy zawarciu umowy</w:t>
            </w:r>
            <w:r w:rsidR="0085649A">
              <w:rPr>
                <w:rFonts w:asciiTheme="minorHAnsi" w:hAnsiTheme="minorHAnsi" w:cstheme="minorHAnsi"/>
                <w:sz w:val="22"/>
                <w:szCs w:val="22"/>
              </w:rPr>
              <w:t xml:space="preserve">” są dodatkowym elementem wykazu, czy mieszczą się w katalogu z ust. 2. </w:t>
            </w:r>
          </w:p>
        </w:tc>
        <w:tc>
          <w:tcPr>
            <w:tcW w:w="5812" w:type="dxa"/>
            <w:shd w:val="clear" w:color="auto" w:fill="auto"/>
          </w:tcPr>
          <w:p w:rsidR="00552DD1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552DD1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C36" w:rsidRPr="00A06425" w:rsidTr="00A06425">
        <w:tc>
          <w:tcPr>
            <w:tcW w:w="562" w:type="dxa"/>
            <w:shd w:val="clear" w:color="auto" w:fill="auto"/>
          </w:tcPr>
          <w:p w:rsidR="00117C36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:rsidR="00117C36" w:rsidRPr="00A06425" w:rsidRDefault="00117C3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17C36" w:rsidRDefault="00117C36" w:rsidP="00993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54</w:t>
            </w:r>
          </w:p>
        </w:tc>
        <w:tc>
          <w:tcPr>
            <w:tcW w:w="4678" w:type="dxa"/>
            <w:shd w:val="clear" w:color="auto" w:fill="auto"/>
          </w:tcPr>
          <w:p w:rsidR="00117C36" w:rsidRDefault="00117C36" w:rsidP="008564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Wskazany przepis wymaga uzupełnienia o tryb i sposób przekazywania danych zarówno przez przedsiębiorcę – Prezesowi UKE, jak i przez Prezesa UKE – organom wskazanym w ust. 5. Nakreślenie ogólnych ram trybowych jest konieczne w celu prawidłowego skonstruowania i wykonania upoważnienia ustawowego. Z upoważnienia zawartego w ust. 6 wynika, że dane te będą przekazywane drogą elektroniczną i za pomocą formularzy – przepisy ustawy wymagają więc odpowiedniego uzupełnienia.</w:t>
            </w:r>
          </w:p>
        </w:tc>
        <w:tc>
          <w:tcPr>
            <w:tcW w:w="5812" w:type="dxa"/>
            <w:shd w:val="clear" w:color="auto" w:fill="auto"/>
          </w:tcPr>
          <w:p w:rsidR="00117C36" w:rsidRPr="00A06425" w:rsidRDefault="00117C3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117C36" w:rsidRPr="00A06425" w:rsidRDefault="00117C3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1869" w:rsidRPr="00A06425" w:rsidTr="00A06425">
        <w:tc>
          <w:tcPr>
            <w:tcW w:w="562" w:type="dxa"/>
            <w:shd w:val="clear" w:color="auto" w:fill="auto"/>
          </w:tcPr>
          <w:p w:rsidR="003D1869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D1869" w:rsidRPr="00A06425" w:rsidRDefault="003D186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1869" w:rsidRDefault="003D1869" w:rsidP="00993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311 ust. 3</w:t>
            </w:r>
          </w:p>
        </w:tc>
        <w:tc>
          <w:tcPr>
            <w:tcW w:w="4678" w:type="dxa"/>
            <w:shd w:val="clear" w:color="auto" w:fill="auto"/>
          </w:tcPr>
          <w:p w:rsidR="003D1869" w:rsidRDefault="003D1869" w:rsidP="003D186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ze wskazanym przepisem, </w:t>
            </w:r>
            <w:r w:rsidRPr="003D1869">
              <w:rPr>
                <w:rFonts w:asciiTheme="minorHAnsi" w:hAnsiTheme="minorHAnsi" w:cstheme="minorHAnsi"/>
                <w:sz w:val="22"/>
                <w:szCs w:val="22"/>
              </w:rPr>
              <w:t>minist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er</w:t>
            </w:r>
            <w:r w:rsidRPr="003D1869">
              <w:rPr>
                <w:rFonts w:asciiTheme="minorHAnsi" w:hAnsiTheme="minorHAnsi" w:cstheme="minorHAnsi"/>
                <w:sz w:val="22"/>
                <w:szCs w:val="22"/>
              </w:rPr>
              <w:t xml:space="preserve"> właściw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3D1869">
              <w:rPr>
                <w:rFonts w:asciiTheme="minorHAnsi" w:hAnsiTheme="minorHAnsi" w:cstheme="minorHAnsi"/>
                <w:sz w:val="22"/>
                <w:szCs w:val="22"/>
              </w:rPr>
              <w:t xml:space="preserve"> do spraw informatyzacji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prowadzi wykaz </w:t>
            </w:r>
            <w:r w:rsidRPr="003D1869">
              <w:rPr>
                <w:rFonts w:asciiTheme="minorHAnsi" w:hAnsiTheme="minorHAnsi" w:cstheme="minorHAnsi"/>
                <w:sz w:val="22"/>
                <w:szCs w:val="22"/>
              </w:rPr>
              <w:t>stron internetowych jednostek sektora finansów publicznych lub innych stron internetowych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Projektowane przepisy nie wskazują jednak na formę prowadzenia tego wykazu i sposób udostępniania go </w:t>
            </w:r>
            <w:r w:rsidR="00247B69">
              <w:rPr>
                <w:rFonts w:asciiTheme="minorHAnsi" w:hAnsiTheme="minorHAnsi" w:cstheme="minorHAnsi"/>
                <w:sz w:val="22"/>
                <w:szCs w:val="22"/>
              </w:rPr>
              <w:t xml:space="preserve">dostawcom usługi dostępu do </w:t>
            </w:r>
            <w:proofErr w:type="spellStart"/>
            <w:r w:rsidR="00247B69">
              <w:rPr>
                <w:rFonts w:asciiTheme="minorHAnsi" w:hAnsiTheme="minorHAnsi" w:cstheme="minorHAnsi"/>
                <w:sz w:val="22"/>
                <w:szCs w:val="22"/>
              </w:rPr>
              <w:t>internetu</w:t>
            </w:r>
            <w:proofErr w:type="spellEnd"/>
            <w:r w:rsidR="00247B69">
              <w:rPr>
                <w:rFonts w:asciiTheme="minorHAnsi" w:hAnsiTheme="minorHAnsi" w:cstheme="minorHAnsi"/>
                <w:sz w:val="22"/>
                <w:szCs w:val="22"/>
              </w:rPr>
              <w:t xml:space="preserve"> lub usługi komunikacji interpersonalnej</w:t>
            </w:r>
            <w:r w:rsidR="00846C67">
              <w:rPr>
                <w:rFonts w:asciiTheme="minorHAnsi" w:hAnsiTheme="minorHAnsi" w:cstheme="minorHAnsi"/>
                <w:sz w:val="22"/>
                <w:szCs w:val="22"/>
              </w:rPr>
              <w:t xml:space="preserve">, co wymaga wyjaśnienia bądź uzupełnienia regulacji. </w:t>
            </w:r>
          </w:p>
        </w:tc>
        <w:tc>
          <w:tcPr>
            <w:tcW w:w="5812" w:type="dxa"/>
            <w:shd w:val="clear" w:color="auto" w:fill="auto"/>
          </w:tcPr>
          <w:p w:rsidR="003D1869" w:rsidRPr="00A06425" w:rsidRDefault="003D186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3D1869" w:rsidRPr="00A06425" w:rsidRDefault="003D186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3C3A" w:rsidRPr="00A06425" w:rsidTr="00A06425">
        <w:tc>
          <w:tcPr>
            <w:tcW w:w="562" w:type="dxa"/>
            <w:shd w:val="clear" w:color="auto" w:fill="auto"/>
          </w:tcPr>
          <w:p w:rsidR="00FC3C3A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C3C3A" w:rsidRPr="00A06425" w:rsidRDefault="00FC3C3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C3C3A" w:rsidRDefault="00FC3C3A" w:rsidP="00993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315 </w:t>
            </w:r>
          </w:p>
        </w:tc>
        <w:tc>
          <w:tcPr>
            <w:tcW w:w="4678" w:type="dxa"/>
            <w:shd w:val="clear" w:color="auto" w:fill="auto"/>
          </w:tcPr>
          <w:p w:rsidR="00FC3C3A" w:rsidRDefault="002B2483" w:rsidP="00623A4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przypadku określonego we wskazanym przepisie systemu teleinformatycznego wyjaśnienia wymaga, jakie informacje i dane będą gromadzone w systemie i czy będą </w:t>
            </w:r>
            <w:r w:rsidR="00623A4E">
              <w:rPr>
                <w:rFonts w:asciiTheme="minorHAnsi" w:hAnsiTheme="minorHAnsi" w:cstheme="minorHAnsi"/>
                <w:sz w:val="22"/>
                <w:szCs w:val="22"/>
              </w:rPr>
              <w:t>wśród nich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dane osobowe (kto będzie administratorem tych danych i jak długo będą przechowywane), 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także czy  dostęp do systemu będą miały podmioty inne niż </w:t>
            </w:r>
            <w:r w:rsidR="005817D2">
              <w:rPr>
                <w:rFonts w:asciiTheme="minorHAnsi" w:hAnsiTheme="minorHAnsi" w:cstheme="minorHAnsi"/>
                <w:sz w:val="22"/>
                <w:szCs w:val="22"/>
              </w:rPr>
              <w:t xml:space="preserve">operatorzy i dostawcy usług. </w:t>
            </w:r>
            <w:r w:rsidR="00623A4E">
              <w:rPr>
                <w:rFonts w:asciiTheme="minorHAnsi" w:hAnsiTheme="minorHAnsi" w:cstheme="minorHAnsi"/>
                <w:sz w:val="22"/>
                <w:szCs w:val="22"/>
              </w:rPr>
              <w:t>(w przypadku systemu, o którym mowa w art. 331 ust. 3 i nast. Wskazano taki katalog danych oraz określono podmioty, którym się dane udostępnia).</w:t>
            </w:r>
          </w:p>
        </w:tc>
        <w:tc>
          <w:tcPr>
            <w:tcW w:w="5812" w:type="dxa"/>
            <w:shd w:val="clear" w:color="auto" w:fill="auto"/>
          </w:tcPr>
          <w:p w:rsidR="00FC3C3A" w:rsidRPr="00A06425" w:rsidRDefault="00FC3C3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C3C3A" w:rsidRPr="00A06425" w:rsidRDefault="00FC3C3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54FCF" w:rsidRPr="00A06425" w:rsidTr="00A06425">
        <w:tc>
          <w:tcPr>
            <w:tcW w:w="562" w:type="dxa"/>
            <w:shd w:val="clear" w:color="auto" w:fill="auto"/>
          </w:tcPr>
          <w:p w:rsidR="00854FCF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1134" w:type="dxa"/>
            <w:shd w:val="clear" w:color="auto" w:fill="auto"/>
          </w:tcPr>
          <w:p w:rsidR="00854FCF" w:rsidRPr="00A06425" w:rsidRDefault="00854F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54FCF" w:rsidRDefault="00854FCF" w:rsidP="00993B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340 ust. 5, 7 i 9</w:t>
            </w:r>
          </w:p>
        </w:tc>
        <w:tc>
          <w:tcPr>
            <w:tcW w:w="4678" w:type="dxa"/>
            <w:shd w:val="clear" w:color="auto" w:fill="auto"/>
          </w:tcPr>
          <w:p w:rsidR="00854FCF" w:rsidRDefault="00854FCF" w:rsidP="005771A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wymaga, czy zgłoszenia do rejestru numerów, o którym mowa w art. 339 ust. 1, będzie się dokonywało za pomocą formularza elektronicznego dostępnego na PUE UKE, podobnie jak zgłoszenie do rejestru PT – przepis</w:t>
            </w:r>
            <w:r w:rsidR="00A947CA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art. </w:t>
            </w:r>
            <w:r w:rsidR="005771A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40 ust. </w:t>
            </w:r>
            <w:r w:rsidR="00A947CA">
              <w:rPr>
                <w:rFonts w:asciiTheme="minorHAnsi" w:hAnsiTheme="minorHAnsi" w:cstheme="minorHAnsi"/>
                <w:sz w:val="22"/>
                <w:szCs w:val="22"/>
              </w:rPr>
              <w:t xml:space="preserve">5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 projektu zawiera</w:t>
            </w:r>
            <w:r w:rsidR="00A947CA">
              <w:rPr>
                <w:rFonts w:asciiTheme="minorHAnsi" w:hAnsiTheme="minorHAnsi" w:cstheme="minorHAnsi"/>
                <w:sz w:val="22"/>
                <w:szCs w:val="22"/>
              </w:rPr>
              <w:t>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jedynie informacje o </w:t>
            </w:r>
            <w:r w:rsidR="00A947CA">
              <w:rPr>
                <w:rFonts w:asciiTheme="minorHAnsi" w:hAnsiTheme="minorHAnsi" w:cstheme="minorHAnsi"/>
                <w:sz w:val="22"/>
                <w:szCs w:val="22"/>
              </w:rPr>
              <w:t xml:space="preserve">wzorze dokumentu elektronicznego, który </w:t>
            </w:r>
            <w:r w:rsidR="00A947CA" w:rsidRPr="00A947C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składa się na PUE UKE</w:t>
            </w:r>
            <w:r w:rsidR="00A947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54FCF" w:rsidRPr="00A06425" w:rsidRDefault="00854F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54FCF" w:rsidRPr="00A06425" w:rsidRDefault="00854F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6BC1" w:rsidRPr="00A06425" w:rsidTr="00A06425">
        <w:tc>
          <w:tcPr>
            <w:tcW w:w="562" w:type="dxa"/>
            <w:shd w:val="clear" w:color="auto" w:fill="auto"/>
          </w:tcPr>
          <w:p w:rsidR="00DC6BC1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C6BC1" w:rsidRPr="00A06425" w:rsidRDefault="00DC6BC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C6BC1" w:rsidRDefault="00DC6BC1" w:rsidP="00DC6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340 ust. 8</w:t>
            </w:r>
          </w:p>
        </w:tc>
        <w:tc>
          <w:tcPr>
            <w:tcW w:w="4678" w:type="dxa"/>
            <w:shd w:val="clear" w:color="auto" w:fill="auto"/>
          </w:tcPr>
          <w:p w:rsidR="00DC6BC1" w:rsidRDefault="00DC6BC1" w:rsidP="00DC6BC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Wskazać należy, że katalog danych, o którym mowa w ust. 1, jest katalogiem zamkniętym – wyjaśnienia więc wymaga treść upoważnienia zawartego w ust. 8, przekazującego do określenia w  rozporządzeniu szczegółowy zakres danych z ust. 1. Natomiast w przypadku zgłoszenia, o którym mowa w ust. 4 – wskazać należy, że przepisy ustawy  nie określają danych zawartych w zgłoszeniu aktualizacyjnym, ani zakresu takich danych, - nie można więc określać ich „szczegółowego zakresu” w akcie wykonawczym. We wskazanym zakresie regulacja dotycząca rejestru numerów wymaga </w:t>
            </w:r>
            <w:r w:rsidR="008B1EA7">
              <w:rPr>
                <w:rFonts w:asciiTheme="minorHAnsi" w:hAnsiTheme="minorHAnsi" w:cstheme="minorHAnsi"/>
                <w:sz w:val="22"/>
                <w:szCs w:val="22"/>
              </w:rPr>
              <w:t xml:space="preserve">ponownej analizy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uzupełnienia</w:t>
            </w:r>
            <w:r w:rsidR="008B1EA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DC6BC1" w:rsidRPr="00A06425" w:rsidRDefault="00DC6BC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C6BC1" w:rsidRPr="00A06425" w:rsidRDefault="00DC6BC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17C36" w:rsidRPr="00A06425" w:rsidTr="00A06425">
        <w:tc>
          <w:tcPr>
            <w:tcW w:w="562" w:type="dxa"/>
            <w:shd w:val="clear" w:color="auto" w:fill="auto"/>
          </w:tcPr>
          <w:p w:rsidR="00117C36" w:rsidRPr="00A06425" w:rsidRDefault="00117C36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17C36" w:rsidRPr="00A06425" w:rsidRDefault="00117C3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117C36" w:rsidRPr="00120494" w:rsidRDefault="00117C36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0494">
              <w:rPr>
                <w:rFonts w:asciiTheme="minorHAnsi" w:hAnsiTheme="minorHAnsi" w:cstheme="minorHAnsi"/>
                <w:b/>
                <w:sz w:val="22"/>
                <w:szCs w:val="22"/>
              </w:rPr>
              <w:t>Uwagi dodatkowe</w:t>
            </w:r>
          </w:p>
        </w:tc>
        <w:tc>
          <w:tcPr>
            <w:tcW w:w="4678" w:type="dxa"/>
            <w:shd w:val="clear" w:color="auto" w:fill="auto"/>
          </w:tcPr>
          <w:p w:rsidR="00117C36" w:rsidRDefault="00117C36" w:rsidP="008564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117C36" w:rsidRPr="00A06425" w:rsidRDefault="00117C3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117C36" w:rsidRPr="00A06425" w:rsidRDefault="00117C3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3834" w:rsidRPr="00A06425" w:rsidTr="00A06425">
        <w:tc>
          <w:tcPr>
            <w:tcW w:w="562" w:type="dxa"/>
            <w:shd w:val="clear" w:color="auto" w:fill="auto"/>
          </w:tcPr>
          <w:p w:rsidR="00483834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83834" w:rsidRPr="00A06425" w:rsidRDefault="004838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83834" w:rsidRPr="00A06425" w:rsidRDefault="00117C36" w:rsidP="00117C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 I rozdział 6</w:t>
            </w:r>
          </w:p>
        </w:tc>
        <w:tc>
          <w:tcPr>
            <w:tcW w:w="4678" w:type="dxa"/>
            <w:shd w:val="clear" w:color="auto" w:fill="auto"/>
          </w:tcPr>
          <w:p w:rsidR="00483834" w:rsidRDefault="00117C36" w:rsidP="00CC436D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przepisy należy uzupełnić</w:t>
            </w:r>
            <w:r w:rsidR="00CC436D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tryb i sposób wnoszenia wniosków o dostęp do PRS lub na produkowanie sprzętu na potrzeby PRS, a także tryb oraz przepisy materialne kwestiach uchylania, cofania, zmiany lub zawieszenia tych pozwoleń</w:t>
            </w:r>
            <w:r w:rsidR="00CC436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117C36" w:rsidRPr="00A06425" w:rsidRDefault="00CC436D" w:rsidP="00DB59B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wyjaśnienia wymaga, mając na uwadze przepis art. 57 ust. 3, kto będzie decydował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czasie, na jaki udziela się pozwolenia – wniosek o pozwolenie nie zawiera takiego elementu. W związku z powyższym wyjaśn</w:t>
            </w:r>
            <w:r w:rsidR="00DB59B2">
              <w:rPr>
                <w:rFonts w:asciiTheme="minorHAnsi" w:hAnsiTheme="minorHAnsi" w:cstheme="minorHAnsi"/>
                <w:sz w:val="22"/>
                <w:szCs w:val="22"/>
              </w:rPr>
              <w:t>ienia również</w:t>
            </w:r>
            <w:bookmarkStart w:id="0" w:name="_GoBack"/>
            <w:bookmarkEnd w:id="0"/>
            <w:r w:rsidR="00DB59B2">
              <w:rPr>
                <w:rFonts w:asciiTheme="minorHAnsi" w:hAnsiTheme="minorHAnsi" w:cstheme="minorHAnsi"/>
                <w:sz w:val="22"/>
                <w:szCs w:val="22"/>
              </w:rPr>
              <w:t xml:space="preserve"> wymaga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jaki może być minimalny okres udzielenia pozwolenia. </w:t>
            </w:r>
          </w:p>
        </w:tc>
        <w:tc>
          <w:tcPr>
            <w:tcW w:w="5812" w:type="dxa"/>
            <w:shd w:val="clear" w:color="auto" w:fill="auto"/>
          </w:tcPr>
          <w:p w:rsidR="00483834" w:rsidRPr="00A06425" w:rsidRDefault="004838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483834" w:rsidRPr="00A06425" w:rsidRDefault="004838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2DD1" w:rsidRPr="00A06425" w:rsidTr="00E07543">
        <w:trPr>
          <w:trHeight w:val="699"/>
        </w:trPr>
        <w:tc>
          <w:tcPr>
            <w:tcW w:w="562" w:type="dxa"/>
            <w:shd w:val="clear" w:color="auto" w:fill="auto"/>
          </w:tcPr>
          <w:p w:rsidR="00552DD1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134" w:type="dxa"/>
            <w:shd w:val="clear" w:color="auto" w:fill="auto"/>
          </w:tcPr>
          <w:p w:rsidR="00552DD1" w:rsidRPr="00A06425" w:rsidRDefault="00552D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52DD1" w:rsidRPr="00A06425" w:rsidRDefault="00CC436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60</w:t>
            </w:r>
          </w:p>
        </w:tc>
        <w:tc>
          <w:tcPr>
            <w:tcW w:w="4678" w:type="dxa"/>
            <w:shd w:val="clear" w:color="auto" w:fill="auto"/>
          </w:tcPr>
          <w:p w:rsidR="00552DD1" w:rsidRPr="00A06425" w:rsidRDefault="00CC436D" w:rsidP="00CC43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Zawarte w tym przepisie </w:t>
            </w:r>
            <w:r w:rsidR="00060141">
              <w:rPr>
                <w:rFonts w:asciiTheme="minorHAnsi" w:hAnsiTheme="minorHAnsi" w:cstheme="minorHAnsi"/>
                <w:sz w:val="22"/>
                <w:szCs w:val="22"/>
              </w:rPr>
              <w:t xml:space="preserve">upoważnienie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zawiera wytycznych w zakresie pkt 2.</w:t>
            </w:r>
          </w:p>
        </w:tc>
        <w:tc>
          <w:tcPr>
            <w:tcW w:w="5812" w:type="dxa"/>
            <w:shd w:val="clear" w:color="auto" w:fill="auto"/>
          </w:tcPr>
          <w:p w:rsidR="00552DD1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552DD1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2DD1" w:rsidRPr="00A06425" w:rsidTr="00A06425">
        <w:tc>
          <w:tcPr>
            <w:tcW w:w="562" w:type="dxa"/>
            <w:shd w:val="clear" w:color="auto" w:fill="auto"/>
          </w:tcPr>
          <w:p w:rsidR="00552DD1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552DD1" w:rsidRPr="00A06425" w:rsidRDefault="00552D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52DD1" w:rsidRPr="00A06425" w:rsidRDefault="00E07543" w:rsidP="00E075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158 ust. 7 i 8</w:t>
            </w:r>
          </w:p>
        </w:tc>
        <w:tc>
          <w:tcPr>
            <w:tcW w:w="4678" w:type="dxa"/>
            <w:shd w:val="clear" w:color="auto" w:fill="auto"/>
          </w:tcPr>
          <w:p w:rsidR="00552DD1" w:rsidRDefault="00E07543" w:rsidP="00E0754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1) wskazać należy, że górne i dolne granice wysokości opłat, o któr</w:t>
            </w:r>
            <w:r w:rsidR="001A575C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mowa w ust. 7, powinny być uregulowane na poziomie ustawy;</w:t>
            </w:r>
          </w:p>
          <w:p w:rsidR="00913B3B" w:rsidRPr="00A06425" w:rsidRDefault="00E07543" w:rsidP="00CB14F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2) zgodnie z ust. 8 pkt 2 w rozporządzeniu należy określić termin złożenia wniosku o wydanie świadectwa operatora urządzeń radiowych – określony już w przepisie art. 158 ust. 5</w:t>
            </w:r>
            <w:r w:rsidR="00F545D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C5D7E">
              <w:rPr>
                <w:rFonts w:asciiTheme="minorHAnsi" w:hAnsiTheme="minorHAnsi" w:cstheme="minorHAnsi"/>
                <w:sz w:val="22"/>
                <w:szCs w:val="22"/>
              </w:rPr>
              <w:t xml:space="preserve"> Przepis upoważnienia należy więc ponownie przeanalizować i dokonać odpowiedniej korekty</w:t>
            </w:r>
            <w:r w:rsidR="0027123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552DD1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552DD1" w:rsidRPr="00A06425" w:rsidRDefault="00552D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543" w:rsidRPr="00A06425" w:rsidTr="00A06425">
        <w:tc>
          <w:tcPr>
            <w:tcW w:w="562" w:type="dxa"/>
            <w:shd w:val="clear" w:color="auto" w:fill="auto"/>
          </w:tcPr>
          <w:p w:rsidR="00E07543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E07543" w:rsidRPr="00A06425" w:rsidRDefault="00E0754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07543" w:rsidRPr="00A06425" w:rsidRDefault="00601FF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240-242</w:t>
            </w:r>
          </w:p>
        </w:tc>
        <w:tc>
          <w:tcPr>
            <w:tcW w:w="4678" w:type="dxa"/>
            <w:shd w:val="clear" w:color="auto" w:fill="auto"/>
          </w:tcPr>
          <w:p w:rsidR="00E07543" w:rsidRDefault="00601FF0" w:rsidP="00601F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Wskazać należy, że projekt ustawy, we wskazanych przepisach reguluje przeprowadzenie </w:t>
            </w:r>
            <w:r w:rsidRPr="00601FF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wstępnej oceny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propozycji zobowiązań, natomiast nie zawiera przepisów dotyczących właściwej  </w:t>
            </w:r>
            <w:r w:rsidRPr="00601FF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oceny propozycji zobowiązań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która, jak wynika z przepisu art. 240, powinna zostać przeprowadzona. Po przeprowadzeniu wstępnej oceny i przedstawieniu jej przedsiębiorcy komunikacji elektronicznej - Prezes UKE może zatwierdzić propozycję zobowiązań. </w:t>
            </w:r>
            <w:r w:rsidR="007E1B44">
              <w:rPr>
                <w:rFonts w:asciiTheme="minorHAnsi" w:hAnsiTheme="minorHAnsi" w:cstheme="minorHAnsi"/>
                <w:sz w:val="22"/>
                <w:szCs w:val="22"/>
              </w:rPr>
              <w:t>Regulacja wymaga więc uzupełnienia o przepisy dotyczące przeprowadzenia oceny propozycji zobowiązań.</w:t>
            </w:r>
          </w:p>
          <w:p w:rsidR="00A8489D" w:rsidRPr="00A06425" w:rsidRDefault="00A8489D" w:rsidP="00A848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Wyjaśnienia także wymaga, jakimi przesłankami Prezes UKE kieruje się podejmując decyzję o zatwierdzeniu propozycji zobowiązań, przepis art. 242 ust. 1 wskazuje bowiem na możliwość, a nie obowiązek wydania decyzji zatwierdzającej. </w:t>
            </w:r>
          </w:p>
        </w:tc>
        <w:tc>
          <w:tcPr>
            <w:tcW w:w="5812" w:type="dxa"/>
            <w:shd w:val="clear" w:color="auto" w:fill="auto"/>
          </w:tcPr>
          <w:p w:rsidR="00E07543" w:rsidRPr="00A06425" w:rsidRDefault="00E075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07543" w:rsidRPr="00A06425" w:rsidRDefault="00E075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49EA" w:rsidRPr="00A06425" w:rsidTr="00A06425">
        <w:tc>
          <w:tcPr>
            <w:tcW w:w="562" w:type="dxa"/>
            <w:shd w:val="clear" w:color="auto" w:fill="auto"/>
          </w:tcPr>
          <w:p w:rsidR="00D949EA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D949EA" w:rsidRPr="00A06425" w:rsidRDefault="00D949E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949EA" w:rsidRDefault="00D949EA" w:rsidP="00D949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407</w:t>
            </w:r>
          </w:p>
        </w:tc>
        <w:tc>
          <w:tcPr>
            <w:tcW w:w="4678" w:type="dxa"/>
            <w:shd w:val="clear" w:color="auto" w:fill="auto"/>
          </w:tcPr>
          <w:p w:rsidR="00D949EA" w:rsidRDefault="00D949EA" w:rsidP="00601F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Wskazany przepis określa organy właściwe w sprawach telekomunikacji. Zwrócić jednak należy uwagę, że tytuł działu i rozdziału wskazuje na organy właściwe w sprawach komunikacji elektronicznej – różnica ta wymaga wyjaśnienia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bądź korekty.</w:t>
            </w:r>
          </w:p>
        </w:tc>
        <w:tc>
          <w:tcPr>
            <w:tcW w:w="5812" w:type="dxa"/>
            <w:shd w:val="clear" w:color="auto" w:fill="auto"/>
          </w:tcPr>
          <w:p w:rsidR="00D949EA" w:rsidRPr="00A06425" w:rsidRDefault="00D949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949EA" w:rsidRPr="00A06425" w:rsidRDefault="00D949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D34" w:rsidRPr="00A06425" w:rsidTr="00A06425">
        <w:tc>
          <w:tcPr>
            <w:tcW w:w="562" w:type="dxa"/>
            <w:shd w:val="clear" w:color="auto" w:fill="auto"/>
          </w:tcPr>
          <w:p w:rsidR="00347D34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134" w:type="dxa"/>
            <w:shd w:val="clear" w:color="auto" w:fill="auto"/>
          </w:tcPr>
          <w:p w:rsidR="00347D34" w:rsidRPr="00A06425" w:rsidRDefault="00347D34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47D34" w:rsidRDefault="00347D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411 ust. 7</w:t>
            </w:r>
          </w:p>
        </w:tc>
        <w:tc>
          <w:tcPr>
            <w:tcW w:w="4678" w:type="dxa"/>
            <w:shd w:val="clear" w:color="auto" w:fill="auto"/>
          </w:tcPr>
          <w:p w:rsidR="00347D34" w:rsidRDefault="00347D34" w:rsidP="00601F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uzupełnienie regulacji o przepis zawierający ramy czasowe – bądź pełnienia obowiązków Prezesa UKE przez wskazanego zastępcę, bądź przez wskazanie terminu, w jakim należy rozpocząć procedurę wyłonienia Prezesa UKE. </w:t>
            </w:r>
          </w:p>
        </w:tc>
        <w:tc>
          <w:tcPr>
            <w:tcW w:w="5812" w:type="dxa"/>
            <w:shd w:val="clear" w:color="auto" w:fill="auto"/>
          </w:tcPr>
          <w:p w:rsidR="00347D34" w:rsidRPr="00A06425" w:rsidRDefault="00347D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347D34" w:rsidRPr="00A06425" w:rsidRDefault="00347D3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F03" w:rsidRPr="00A06425" w:rsidTr="00A06425">
        <w:tc>
          <w:tcPr>
            <w:tcW w:w="562" w:type="dxa"/>
            <w:shd w:val="clear" w:color="auto" w:fill="auto"/>
          </w:tcPr>
          <w:p w:rsidR="00CC7F03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CC7F03" w:rsidRPr="00A06425" w:rsidRDefault="00CC7F0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C7F03" w:rsidRDefault="00CC7F0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412 ust. 1</w:t>
            </w:r>
          </w:p>
        </w:tc>
        <w:tc>
          <w:tcPr>
            <w:tcW w:w="4678" w:type="dxa"/>
            <w:shd w:val="clear" w:color="auto" w:fill="auto"/>
          </w:tcPr>
          <w:p w:rsidR="00CC7F03" w:rsidRDefault="00CC7F03" w:rsidP="00CC7F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wskazanie wprost  liczby zastępców Prezesa (z przepisów wynika, że powinno ich być dwóch). </w:t>
            </w:r>
          </w:p>
        </w:tc>
        <w:tc>
          <w:tcPr>
            <w:tcW w:w="5812" w:type="dxa"/>
            <w:shd w:val="clear" w:color="auto" w:fill="auto"/>
          </w:tcPr>
          <w:p w:rsidR="00CC7F03" w:rsidRPr="00A06425" w:rsidRDefault="00CC7F0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CC7F03" w:rsidRPr="00A06425" w:rsidRDefault="00CC7F0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3B67" w:rsidRPr="00A06425" w:rsidTr="00A06425">
        <w:tc>
          <w:tcPr>
            <w:tcW w:w="562" w:type="dxa"/>
            <w:shd w:val="clear" w:color="auto" w:fill="auto"/>
          </w:tcPr>
          <w:p w:rsidR="00903B67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903B67" w:rsidRPr="00A06425" w:rsidRDefault="00903B6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03B67" w:rsidRDefault="00A3623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414 ust. 1 pkt 2 i 6</w:t>
            </w:r>
          </w:p>
        </w:tc>
        <w:tc>
          <w:tcPr>
            <w:tcW w:w="4678" w:type="dxa"/>
            <w:shd w:val="clear" w:color="auto" w:fill="auto"/>
          </w:tcPr>
          <w:p w:rsidR="00903B67" w:rsidRDefault="00A36231" w:rsidP="00A362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doprecyzowanie wykonywanie </w:t>
            </w:r>
            <w:r w:rsidRPr="00A362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czyich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zadań i obowiązków leży w zakresie działania Prezesa UKE. </w:t>
            </w:r>
          </w:p>
        </w:tc>
        <w:tc>
          <w:tcPr>
            <w:tcW w:w="5812" w:type="dxa"/>
            <w:shd w:val="clear" w:color="auto" w:fill="auto"/>
          </w:tcPr>
          <w:p w:rsidR="00903B67" w:rsidRPr="00A06425" w:rsidRDefault="00903B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03B67" w:rsidRPr="00A06425" w:rsidRDefault="00903B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0BD7" w:rsidRPr="00A06425" w:rsidTr="00A06425">
        <w:tc>
          <w:tcPr>
            <w:tcW w:w="562" w:type="dxa"/>
            <w:shd w:val="clear" w:color="auto" w:fill="auto"/>
          </w:tcPr>
          <w:p w:rsidR="00B20BD7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B20BD7" w:rsidRPr="00A06425" w:rsidRDefault="00B20BD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20BD7" w:rsidRDefault="00B20BD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416 </w:t>
            </w:r>
          </w:p>
        </w:tc>
        <w:tc>
          <w:tcPr>
            <w:tcW w:w="4678" w:type="dxa"/>
            <w:shd w:val="clear" w:color="auto" w:fill="auto"/>
          </w:tcPr>
          <w:p w:rsidR="00B20BD7" w:rsidRDefault="00B20BD7" w:rsidP="00A362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wskazanym przepisem Prezes UKE  jest uprawniony do weryfikacji np. przestrzegania przepisów, a w ramach tej weryfikacji Prezes UKE może w szczególności  prowadzić kontrole i postępowania pokontrolne.</w:t>
            </w:r>
          </w:p>
          <w:p w:rsidR="00B20BD7" w:rsidRDefault="00B20BD7" w:rsidP="00AB068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powyższym wskazać należy, że dział VIII rozdział 2 ustawy (art. 416 i następne) zawiera jedynie przepisy dotyczące kontroli</w:t>
            </w:r>
            <w:r w:rsidR="00AB068C">
              <w:rPr>
                <w:rFonts w:asciiTheme="minorHAnsi" w:hAnsiTheme="minorHAnsi" w:cstheme="minorHAnsi"/>
                <w:sz w:val="22"/>
                <w:szCs w:val="22"/>
              </w:rPr>
              <w:t xml:space="preserve"> – nie zawiera natomiast przepisów dotyczących weryfikacji, zwłaszcza monitorowania, o którym mowa w art. 416 ust. 2. Proponuje się więc przeredagowanie przepisu art. 416 i usunięcie z jego treści uprawnienia do „weryfikacji”. </w:t>
            </w:r>
          </w:p>
        </w:tc>
        <w:tc>
          <w:tcPr>
            <w:tcW w:w="5812" w:type="dxa"/>
            <w:shd w:val="clear" w:color="auto" w:fill="auto"/>
          </w:tcPr>
          <w:p w:rsidR="00B20BD7" w:rsidRPr="00A06425" w:rsidRDefault="00B20BD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20BD7" w:rsidRPr="00A06425" w:rsidRDefault="00B20BD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4F0E" w:rsidRPr="00A06425" w:rsidTr="00A06425">
        <w:tc>
          <w:tcPr>
            <w:tcW w:w="562" w:type="dxa"/>
            <w:shd w:val="clear" w:color="auto" w:fill="auto"/>
          </w:tcPr>
          <w:p w:rsidR="005D4F0E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5D4F0E" w:rsidRPr="00A06425" w:rsidRDefault="005D4F0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D4F0E" w:rsidRDefault="005D4F0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418 </w:t>
            </w:r>
          </w:p>
        </w:tc>
        <w:tc>
          <w:tcPr>
            <w:tcW w:w="4678" w:type="dxa"/>
            <w:shd w:val="clear" w:color="auto" w:fill="auto"/>
          </w:tcPr>
          <w:p w:rsidR="005D4F0E" w:rsidRDefault="005D4F0E" w:rsidP="005D4F0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wskazanym przepisem k</w:t>
            </w:r>
            <w:r w:rsidRPr="005D4F0E">
              <w:rPr>
                <w:rFonts w:asciiTheme="minorHAnsi" w:hAnsiTheme="minorHAnsi" w:cstheme="minorHAnsi"/>
                <w:sz w:val="22"/>
                <w:szCs w:val="22"/>
              </w:rPr>
              <w:t>ontrolę i postępowanie pokontrolne Prezes UKE wszczyna z urzędu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Mając ww. przepis na uwadze wskazać należy, że przepisy rozdziału dotyczącego kontroli nie zawierają regulacji wyodrębniającej postępowanie pokontrolne, zwłaszcza „wszczęcia” tego postępowania. Przepisy ustawy regulują jedynie wydanie zaleceń pokontrolnych i konsekwencje ich niewykonania. Kwestia ta wymaga wyjaśnienia.  </w:t>
            </w:r>
          </w:p>
        </w:tc>
        <w:tc>
          <w:tcPr>
            <w:tcW w:w="5812" w:type="dxa"/>
            <w:shd w:val="clear" w:color="auto" w:fill="auto"/>
          </w:tcPr>
          <w:p w:rsidR="005D4F0E" w:rsidRPr="00A06425" w:rsidRDefault="005D4F0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5D4F0E" w:rsidRPr="00A06425" w:rsidRDefault="005D4F0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83FAD" w:rsidRPr="00A06425" w:rsidTr="00A06425">
        <w:tc>
          <w:tcPr>
            <w:tcW w:w="562" w:type="dxa"/>
            <w:shd w:val="clear" w:color="auto" w:fill="auto"/>
          </w:tcPr>
          <w:p w:rsidR="00F83FAD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F83FAD" w:rsidRPr="00A06425" w:rsidRDefault="00F83FA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F83FAD" w:rsidRDefault="00F83FA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419 ust. 3</w:t>
            </w:r>
          </w:p>
        </w:tc>
        <w:tc>
          <w:tcPr>
            <w:tcW w:w="4678" w:type="dxa"/>
            <w:shd w:val="clear" w:color="auto" w:fill="auto"/>
          </w:tcPr>
          <w:p w:rsidR="00F83FAD" w:rsidRDefault="00F83FAD" w:rsidP="00F83FA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Wskazany przepis określa otwarty katalog danych zawartych w upoważnieniu do przeprowadzenia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kontroli osoby fizycznej, zawierający m.in. określenie zakresu kontroli. Wyjaśnienia więc wymaga, dlaczego analogicznego przepisu dotyczącego elementów upoważnienia nie wprowadzono dla kontroli innych podmiotów niż osoba fizyczna. </w:t>
            </w:r>
          </w:p>
        </w:tc>
        <w:tc>
          <w:tcPr>
            <w:tcW w:w="5812" w:type="dxa"/>
            <w:shd w:val="clear" w:color="auto" w:fill="auto"/>
          </w:tcPr>
          <w:p w:rsidR="00F83FAD" w:rsidRPr="00A06425" w:rsidRDefault="00F83FA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F83FAD" w:rsidRPr="00A06425" w:rsidRDefault="00F83FA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1DB6" w:rsidRPr="00A06425" w:rsidTr="00A06425">
        <w:tc>
          <w:tcPr>
            <w:tcW w:w="562" w:type="dxa"/>
            <w:shd w:val="clear" w:color="auto" w:fill="auto"/>
          </w:tcPr>
          <w:p w:rsidR="007E1DB6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23</w:t>
            </w:r>
          </w:p>
        </w:tc>
        <w:tc>
          <w:tcPr>
            <w:tcW w:w="1134" w:type="dxa"/>
            <w:shd w:val="clear" w:color="auto" w:fill="auto"/>
          </w:tcPr>
          <w:p w:rsidR="007E1DB6" w:rsidRPr="00A06425" w:rsidRDefault="007E1DB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E1DB6" w:rsidRDefault="007E1D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427</w:t>
            </w:r>
          </w:p>
        </w:tc>
        <w:tc>
          <w:tcPr>
            <w:tcW w:w="4678" w:type="dxa"/>
            <w:shd w:val="clear" w:color="auto" w:fill="auto"/>
          </w:tcPr>
          <w:p w:rsidR="007E1DB6" w:rsidRDefault="007E1DB6" w:rsidP="007E1D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uregulowanie zakresu danych zawartych w legitymacji służbowej w przepisach ustawy, a w akcie wykonawczym pozostawienie jedynie określenia wzoru – odwzorowania graficznego dokumentu</w:t>
            </w:r>
          </w:p>
        </w:tc>
        <w:tc>
          <w:tcPr>
            <w:tcW w:w="5812" w:type="dxa"/>
            <w:shd w:val="clear" w:color="auto" w:fill="auto"/>
          </w:tcPr>
          <w:p w:rsidR="007E1DB6" w:rsidRPr="00A06425" w:rsidRDefault="007E1D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E1DB6" w:rsidRPr="00A06425" w:rsidRDefault="007E1DB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45F3" w:rsidRPr="00A06425" w:rsidTr="00A06425">
        <w:tc>
          <w:tcPr>
            <w:tcW w:w="562" w:type="dxa"/>
            <w:shd w:val="clear" w:color="auto" w:fill="auto"/>
          </w:tcPr>
          <w:p w:rsidR="00D545F3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D545F3" w:rsidRPr="00A06425" w:rsidRDefault="00D545F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D545F3" w:rsidRDefault="00D545F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434 ust. 2 i 3</w:t>
            </w:r>
          </w:p>
        </w:tc>
        <w:tc>
          <w:tcPr>
            <w:tcW w:w="4678" w:type="dxa"/>
            <w:shd w:val="clear" w:color="auto" w:fill="auto"/>
          </w:tcPr>
          <w:p w:rsidR="00D545F3" w:rsidRDefault="00D545F3" w:rsidP="00D545F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Wskazać należy, że upoważnienia zawarte w art. 434 ust. 2 i 3 mają charakter blankietowy, co powoduje konieczność uzupełnienia regulacji ustawowej w niezbędnym zakresie.</w:t>
            </w:r>
          </w:p>
        </w:tc>
        <w:tc>
          <w:tcPr>
            <w:tcW w:w="5812" w:type="dxa"/>
            <w:shd w:val="clear" w:color="auto" w:fill="auto"/>
          </w:tcPr>
          <w:p w:rsidR="00D545F3" w:rsidRPr="00A06425" w:rsidRDefault="00D545F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D545F3" w:rsidRPr="00A06425" w:rsidRDefault="00D545F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543" w:rsidRPr="00A06425" w:rsidTr="00A06425">
        <w:tc>
          <w:tcPr>
            <w:tcW w:w="562" w:type="dxa"/>
            <w:shd w:val="clear" w:color="auto" w:fill="auto"/>
          </w:tcPr>
          <w:p w:rsidR="00E07543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E07543" w:rsidRPr="00A06425" w:rsidRDefault="00E0754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07543" w:rsidRPr="00A06425" w:rsidRDefault="00EB2F9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439 ust. 3 i 6</w:t>
            </w:r>
          </w:p>
        </w:tc>
        <w:tc>
          <w:tcPr>
            <w:tcW w:w="4678" w:type="dxa"/>
            <w:shd w:val="clear" w:color="auto" w:fill="auto"/>
          </w:tcPr>
          <w:p w:rsidR="00E07543" w:rsidRPr="00A06425" w:rsidRDefault="00EB2F92" w:rsidP="00CF6FB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wskazanym przepisem ust. 6 o</w:t>
            </w:r>
            <w:r w:rsidRPr="00EB2F92">
              <w:rPr>
                <w:rFonts w:asciiTheme="minorHAnsi" w:hAnsiTheme="minorHAnsi" w:cstheme="minorHAnsi"/>
                <w:sz w:val="22"/>
                <w:szCs w:val="22"/>
              </w:rPr>
              <w:t>rzekanie w sprawach o czyny, o których mowa w ust. 1-3, następuje w trybie przepisów ustawy z dnia 24 sierpnia 2001 r. - Kodeks postępowania w sprawach o wykroczenia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Wskazać jednak należy, że przepis ust. 3 dotyczy kar z katalogu zawartego w Kodeksie karnym (art. 32 pkt 1-3) – w reżimie kodeksu wykroczeń nie występuje kara pozbawienia wolności, </w:t>
            </w:r>
            <w:r w:rsidR="0082151B">
              <w:rPr>
                <w:rFonts w:asciiTheme="minorHAnsi" w:hAnsiTheme="minorHAnsi" w:cstheme="minorHAnsi"/>
                <w:sz w:val="22"/>
                <w:szCs w:val="22"/>
              </w:rPr>
              <w:t>lecz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kara aresztu. We wskazanym zakresie przepis ust. 6 wymaga więc</w:t>
            </w:r>
            <w:r w:rsidR="00CF6FBD">
              <w:rPr>
                <w:rFonts w:asciiTheme="minorHAnsi" w:hAnsiTheme="minorHAnsi" w:cstheme="minorHAnsi"/>
                <w:sz w:val="22"/>
                <w:szCs w:val="22"/>
              </w:rPr>
              <w:t xml:space="preserve"> korekty.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E07543" w:rsidRPr="00A06425" w:rsidRDefault="00E075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07543" w:rsidRPr="00A06425" w:rsidRDefault="00E075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7543" w:rsidRPr="00A06425" w:rsidTr="00A06425">
        <w:tc>
          <w:tcPr>
            <w:tcW w:w="562" w:type="dxa"/>
            <w:shd w:val="clear" w:color="auto" w:fill="auto"/>
          </w:tcPr>
          <w:p w:rsidR="00E07543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E07543" w:rsidRPr="00A06425" w:rsidRDefault="00E0754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E07543" w:rsidRPr="00A06425" w:rsidRDefault="009507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440</w:t>
            </w:r>
          </w:p>
        </w:tc>
        <w:tc>
          <w:tcPr>
            <w:tcW w:w="4678" w:type="dxa"/>
            <w:shd w:val="clear" w:color="auto" w:fill="auto"/>
          </w:tcPr>
          <w:p w:rsidR="00950771" w:rsidRPr="00950771" w:rsidRDefault="00950771" w:rsidP="009507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Wyjaśnienia wymaga wzajemna relacja przepisu art. 440 i art. 441 ust. 1 pkt 86 w zakresie 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t xml:space="preserve">sankcji 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przesyłani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niezamówionych informacji handlowych. Zgodnie z art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t>. 393 ust.</w:t>
            </w: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>akazane jest używanie:</w:t>
            </w:r>
          </w:p>
          <w:p w:rsidR="00950771" w:rsidRPr="00950771" w:rsidRDefault="00950771" w:rsidP="009507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ab/>
              <w:t>automatycznych systemów wywołujących lub</w:t>
            </w:r>
          </w:p>
          <w:p w:rsidR="00950771" w:rsidRPr="00950771" w:rsidRDefault="00950771" w:rsidP="009507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ab/>
              <w:t>telekomunikacyjnych urządzeń końcowych, w szczególności w ramach korzystania z usług komunikacji interpersonalnej</w:t>
            </w:r>
          </w:p>
          <w:p w:rsidR="00E07543" w:rsidRPr="00A06425" w:rsidRDefault="00950771" w:rsidP="009507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0771">
              <w:rPr>
                <w:rFonts w:asciiTheme="minorHAnsi" w:hAnsiTheme="minorHAnsi" w:cstheme="minorHAnsi"/>
                <w:sz w:val="22"/>
                <w:szCs w:val="22"/>
              </w:rPr>
              <w:t>– dla celów przesyłania niezamówionej informacji handlowej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t xml:space="preserve">. Karę pieniężną za ww. czyny 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przewiduje przepis art. 441 ust. 1 pkt 86. Natomiast przepis art. 440 ust. 1 przewiduje karę grzywny za przesyłanie niezamówionych informacji handlowych </w:t>
            </w:r>
            <w:r w:rsidR="00DB7818" w:rsidRPr="00DB781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za pomocą środków komunikacji elektronicznej</w:t>
            </w:r>
            <w:r w:rsidR="00DB7818">
              <w:rPr>
                <w:rFonts w:asciiTheme="minorHAnsi" w:hAnsiTheme="minorHAnsi" w:cstheme="minorHAnsi"/>
                <w:sz w:val="22"/>
                <w:szCs w:val="22"/>
              </w:rPr>
              <w:t xml:space="preserve">. Wydaje się jednak, że przepisy ustawy nie zawierają przepisu, który dotyczyłby wyrażania zgody na przesyłanie informacji handlowych „za pomocą środków komunikacji elektronicznej” – wyjaśnienia więc wymaga, czy przepisy art. 440 i art. 441 ust. 1 pkt 86 dotyczą takiej samej, czy odmiennych sytuacji faktycznych – uzasadnienie projektu nie wyjaśnia wzajemnej relacji tych przepisów. </w:t>
            </w:r>
          </w:p>
        </w:tc>
        <w:tc>
          <w:tcPr>
            <w:tcW w:w="5812" w:type="dxa"/>
            <w:shd w:val="clear" w:color="auto" w:fill="auto"/>
          </w:tcPr>
          <w:p w:rsidR="00E07543" w:rsidRPr="00A06425" w:rsidRDefault="00E075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07543" w:rsidRPr="00A06425" w:rsidRDefault="00E075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0771" w:rsidRPr="00A06425" w:rsidTr="00A06425">
        <w:tc>
          <w:tcPr>
            <w:tcW w:w="562" w:type="dxa"/>
            <w:shd w:val="clear" w:color="auto" w:fill="auto"/>
          </w:tcPr>
          <w:p w:rsidR="00950771" w:rsidRPr="00A06425" w:rsidRDefault="0012049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1134" w:type="dxa"/>
            <w:shd w:val="clear" w:color="auto" w:fill="auto"/>
          </w:tcPr>
          <w:p w:rsidR="00950771" w:rsidRPr="00A06425" w:rsidRDefault="009507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50771" w:rsidRDefault="003B3145" w:rsidP="003B31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441 ust. 1 pkt 79, 80, 82</w:t>
            </w:r>
            <w:r w:rsidR="0065312F">
              <w:rPr>
                <w:rFonts w:asciiTheme="minorHAnsi" w:hAnsiTheme="minorHAnsi" w:cstheme="minorHAnsi"/>
                <w:sz w:val="22"/>
                <w:szCs w:val="22"/>
              </w:rPr>
              <w:t xml:space="preserve"> i 98</w:t>
            </w:r>
          </w:p>
        </w:tc>
        <w:tc>
          <w:tcPr>
            <w:tcW w:w="4678" w:type="dxa"/>
            <w:shd w:val="clear" w:color="auto" w:fill="auto"/>
          </w:tcPr>
          <w:p w:rsidR="00950771" w:rsidRDefault="003B3145" w:rsidP="003B31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doprecyzować wskazane przepisy przez dodanie odpowiednich odesłań do przepisów ustawy. </w:t>
            </w:r>
          </w:p>
        </w:tc>
        <w:tc>
          <w:tcPr>
            <w:tcW w:w="5812" w:type="dxa"/>
            <w:shd w:val="clear" w:color="auto" w:fill="auto"/>
          </w:tcPr>
          <w:p w:rsidR="00950771" w:rsidRPr="00A06425" w:rsidRDefault="009507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50771" w:rsidRPr="00A06425" w:rsidRDefault="009507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B3145" w:rsidRPr="00A06425" w:rsidTr="00A06425">
        <w:tc>
          <w:tcPr>
            <w:tcW w:w="562" w:type="dxa"/>
            <w:shd w:val="clear" w:color="auto" w:fill="auto"/>
          </w:tcPr>
          <w:p w:rsidR="003B3145" w:rsidRPr="00A06425" w:rsidRDefault="005331B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3B3145" w:rsidRPr="00A06425" w:rsidRDefault="003B314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B3145" w:rsidRDefault="005331B3" w:rsidP="003B31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Przepisy upoważniające do wydania aktów wykonawczych</w:t>
            </w:r>
          </w:p>
        </w:tc>
        <w:tc>
          <w:tcPr>
            <w:tcW w:w="4678" w:type="dxa"/>
            <w:shd w:val="clear" w:color="auto" w:fill="auto"/>
          </w:tcPr>
          <w:p w:rsidR="003B3145" w:rsidRDefault="005331B3" w:rsidP="00261A4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 przepis  § </w:t>
            </w:r>
            <w:r w:rsidR="00895650">
              <w:rPr>
                <w:rFonts w:asciiTheme="minorHAnsi" w:hAnsiTheme="minorHAnsi" w:cstheme="minorHAnsi"/>
                <w:sz w:val="22"/>
                <w:szCs w:val="22"/>
              </w:rPr>
              <w:t xml:space="preserve">60 ust. 3 pkt 7 Regulaminu pracy Rady Ministrów, zgodnie z którym do wniosku o rozpatrzenie </w:t>
            </w:r>
            <w:r w:rsidR="00895650" w:rsidRPr="00895650">
              <w:rPr>
                <w:rFonts w:asciiTheme="minorHAnsi" w:hAnsiTheme="minorHAnsi" w:cstheme="minorHAnsi"/>
                <w:sz w:val="22"/>
                <w:szCs w:val="22"/>
              </w:rPr>
              <w:t>projektu dokumentu rządowego przez Stały Kom</w:t>
            </w:r>
            <w:r w:rsidR="00895650">
              <w:rPr>
                <w:rFonts w:asciiTheme="minorHAnsi" w:hAnsiTheme="minorHAnsi" w:cstheme="minorHAnsi"/>
                <w:sz w:val="22"/>
                <w:szCs w:val="22"/>
              </w:rPr>
              <w:t xml:space="preserve">itet Rady Ministrów dołącza się m.in. </w:t>
            </w:r>
            <w:r w:rsidR="00895650" w:rsidRPr="00895650">
              <w:rPr>
                <w:rFonts w:asciiTheme="minorHAnsi" w:hAnsiTheme="minorHAnsi" w:cstheme="minorHAnsi"/>
                <w:sz w:val="22"/>
                <w:szCs w:val="22"/>
              </w:rPr>
              <w:t>projekty takich aktów o podstawowym znaczeniu dla proponowanej regulacji, a w przypadku projektu ustawy mającej na celu wdrożenie prawa Unii Europejskiej - projekty aktów wykonawczych, których obowiązek wydania przewiduje projekt ustawy</w:t>
            </w:r>
            <w:r w:rsidR="00895650">
              <w:rPr>
                <w:rFonts w:asciiTheme="minorHAnsi" w:hAnsiTheme="minorHAnsi" w:cstheme="minorHAnsi"/>
                <w:sz w:val="22"/>
                <w:szCs w:val="22"/>
              </w:rPr>
              <w:t xml:space="preserve">, ostateczną ocenę </w:t>
            </w:r>
            <w:r w:rsidR="00B57B3D">
              <w:rPr>
                <w:rFonts w:asciiTheme="minorHAnsi" w:hAnsiTheme="minorHAnsi" w:cstheme="minorHAnsi"/>
                <w:sz w:val="22"/>
                <w:szCs w:val="22"/>
              </w:rPr>
              <w:t xml:space="preserve">prawidłowości skonstruowania przepisów upoważniających zawartych w ustawie,  RCL przedstawi po </w:t>
            </w:r>
            <w:r w:rsidR="00261A47">
              <w:rPr>
                <w:rFonts w:asciiTheme="minorHAnsi" w:hAnsiTheme="minorHAnsi" w:cstheme="minorHAnsi"/>
                <w:sz w:val="22"/>
                <w:szCs w:val="22"/>
              </w:rPr>
              <w:t>przekazaniu</w:t>
            </w:r>
            <w:r w:rsidR="00B57B3D">
              <w:rPr>
                <w:rFonts w:asciiTheme="minorHAnsi" w:hAnsiTheme="minorHAnsi" w:cstheme="minorHAnsi"/>
                <w:sz w:val="22"/>
                <w:szCs w:val="22"/>
              </w:rPr>
              <w:t xml:space="preserve"> przez Projektodawcę  </w:t>
            </w:r>
            <w:r w:rsidR="0039512F">
              <w:rPr>
                <w:rFonts w:asciiTheme="minorHAnsi" w:hAnsiTheme="minorHAnsi" w:cstheme="minorHAnsi"/>
                <w:sz w:val="22"/>
                <w:szCs w:val="22"/>
              </w:rPr>
              <w:t>projektów</w:t>
            </w:r>
            <w:r w:rsidR="00B57B3D">
              <w:rPr>
                <w:rFonts w:asciiTheme="minorHAnsi" w:hAnsiTheme="minorHAnsi" w:cstheme="minorHAnsi"/>
                <w:sz w:val="22"/>
                <w:szCs w:val="22"/>
              </w:rPr>
              <w:t xml:space="preserve"> aktów wykonawczych. </w:t>
            </w:r>
          </w:p>
        </w:tc>
        <w:tc>
          <w:tcPr>
            <w:tcW w:w="5812" w:type="dxa"/>
            <w:shd w:val="clear" w:color="auto" w:fill="auto"/>
          </w:tcPr>
          <w:p w:rsidR="003B3145" w:rsidRPr="00A06425" w:rsidRDefault="003B314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3B3145" w:rsidRPr="00A06425" w:rsidRDefault="003B314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0545"/>
    <w:rsid w:val="00034258"/>
    <w:rsid w:val="00060141"/>
    <w:rsid w:val="00117C36"/>
    <w:rsid w:val="00120494"/>
    <w:rsid w:val="00140BE8"/>
    <w:rsid w:val="0019648E"/>
    <w:rsid w:val="001A575C"/>
    <w:rsid w:val="001C462D"/>
    <w:rsid w:val="002038DF"/>
    <w:rsid w:val="00247B69"/>
    <w:rsid w:val="00261A47"/>
    <w:rsid w:val="00271235"/>
    <w:rsid w:val="002715B2"/>
    <w:rsid w:val="00275422"/>
    <w:rsid w:val="002B2483"/>
    <w:rsid w:val="00305D91"/>
    <w:rsid w:val="003124D1"/>
    <w:rsid w:val="00347D34"/>
    <w:rsid w:val="0039512F"/>
    <w:rsid w:val="003A7606"/>
    <w:rsid w:val="003B3145"/>
    <w:rsid w:val="003B4105"/>
    <w:rsid w:val="003D1869"/>
    <w:rsid w:val="003D6FBB"/>
    <w:rsid w:val="00483834"/>
    <w:rsid w:val="004D086F"/>
    <w:rsid w:val="004F6518"/>
    <w:rsid w:val="005331B3"/>
    <w:rsid w:val="00552156"/>
    <w:rsid w:val="00552DD1"/>
    <w:rsid w:val="00564113"/>
    <w:rsid w:val="005771AE"/>
    <w:rsid w:val="005817D2"/>
    <w:rsid w:val="005D4F0E"/>
    <w:rsid w:val="005F6527"/>
    <w:rsid w:val="00601FF0"/>
    <w:rsid w:val="00623A4E"/>
    <w:rsid w:val="0065312F"/>
    <w:rsid w:val="006705EC"/>
    <w:rsid w:val="006B0F5A"/>
    <w:rsid w:val="006B2659"/>
    <w:rsid w:val="006C094F"/>
    <w:rsid w:val="006E16E9"/>
    <w:rsid w:val="007A0FAD"/>
    <w:rsid w:val="007A2938"/>
    <w:rsid w:val="007E1B44"/>
    <w:rsid w:val="007E1DB6"/>
    <w:rsid w:val="00807385"/>
    <w:rsid w:val="0082151B"/>
    <w:rsid w:val="00846C67"/>
    <w:rsid w:val="00854FCF"/>
    <w:rsid w:val="0085649A"/>
    <w:rsid w:val="00875212"/>
    <w:rsid w:val="00895650"/>
    <w:rsid w:val="008B1EA7"/>
    <w:rsid w:val="008B25BD"/>
    <w:rsid w:val="008B5729"/>
    <w:rsid w:val="008C5D7E"/>
    <w:rsid w:val="00903B67"/>
    <w:rsid w:val="00913B3B"/>
    <w:rsid w:val="00925F29"/>
    <w:rsid w:val="00944932"/>
    <w:rsid w:val="00950771"/>
    <w:rsid w:val="00993B65"/>
    <w:rsid w:val="009E5FDB"/>
    <w:rsid w:val="00A06425"/>
    <w:rsid w:val="00A36231"/>
    <w:rsid w:val="00A8489D"/>
    <w:rsid w:val="00A947CA"/>
    <w:rsid w:val="00AB068C"/>
    <w:rsid w:val="00AC7796"/>
    <w:rsid w:val="00B20BD7"/>
    <w:rsid w:val="00B525AB"/>
    <w:rsid w:val="00B57B3D"/>
    <w:rsid w:val="00B64327"/>
    <w:rsid w:val="00B871B6"/>
    <w:rsid w:val="00BB0D6C"/>
    <w:rsid w:val="00BC1311"/>
    <w:rsid w:val="00BE0FE0"/>
    <w:rsid w:val="00BF7830"/>
    <w:rsid w:val="00C51CC5"/>
    <w:rsid w:val="00C64B1B"/>
    <w:rsid w:val="00CB14F1"/>
    <w:rsid w:val="00CC436D"/>
    <w:rsid w:val="00CC7F03"/>
    <w:rsid w:val="00CD5EB0"/>
    <w:rsid w:val="00CE0416"/>
    <w:rsid w:val="00CF6FBD"/>
    <w:rsid w:val="00D545F3"/>
    <w:rsid w:val="00D5490C"/>
    <w:rsid w:val="00D63F0E"/>
    <w:rsid w:val="00D949EA"/>
    <w:rsid w:val="00DA661E"/>
    <w:rsid w:val="00DB59B2"/>
    <w:rsid w:val="00DB7818"/>
    <w:rsid w:val="00DC6BC1"/>
    <w:rsid w:val="00E05517"/>
    <w:rsid w:val="00E07543"/>
    <w:rsid w:val="00E14C33"/>
    <w:rsid w:val="00EB2F92"/>
    <w:rsid w:val="00F04E1C"/>
    <w:rsid w:val="00F545DC"/>
    <w:rsid w:val="00F83FAD"/>
    <w:rsid w:val="00F9395E"/>
    <w:rsid w:val="00F94613"/>
    <w:rsid w:val="00FA7340"/>
    <w:rsid w:val="00FC3C3A"/>
    <w:rsid w:val="00FE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1850</Words>
  <Characters>11105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Gałązka-Sobocka Anna</cp:lastModifiedBy>
  <cp:revision>70</cp:revision>
  <dcterms:created xsi:type="dcterms:W3CDTF">2021-02-26T18:43:00Z</dcterms:created>
  <dcterms:modified xsi:type="dcterms:W3CDTF">2021-03-01T14:17:00Z</dcterms:modified>
</cp:coreProperties>
</file>